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00F0D744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146E749C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548718C7" w:rsidR="008A23AC" w:rsidRDefault="002B5732" w:rsidP="008A23AC">
            <w:r>
              <w:t>Univerzita Palackého v Olomouci</w:t>
            </w:r>
          </w:p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1D7C49F0" w:rsidR="00097201" w:rsidRPr="002B5732" w:rsidRDefault="002B5732" w:rsidP="002B57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2B5732">
              <w:rPr>
                <w:rFonts w:asciiTheme="minorHAnsi" w:eastAsiaTheme="majorEastAsia" w:hAnsiTheme="minorHAnsi" w:cs="Times New Roman"/>
                <w:i/>
                <w:highlight w:val="lightGray"/>
              </w:rPr>
              <w:t>vyplní odborný pracovník PSUP</w:t>
            </w:r>
          </w:p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187FC702" w:rsidR="000A418D" w:rsidRPr="002B5732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2B5732">
              <w:rPr>
                <w:b/>
              </w:rPr>
              <w:t xml:space="preserve">a registrační číslo </w:t>
            </w:r>
            <w:r>
              <w:rPr>
                <w:b/>
              </w:rPr>
              <w:t>návratového grantu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21C16AB5" w14:textId="77777777" w:rsidR="001D38F8" w:rsidRDefault="001D38F8" w:rsidP="00CC7C06"/>
    <w:tbl>
      <w:tblPr>
        <w:tblStyle w:val="Mkatabulky"/>
        <w:tblW w:w="964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5796"/>
        <w:gridCol w:w="1293"/>
        <w:gridCol w:w="1417"/>
      </w:tblGrid>
      <w:tr w:rsidR="001D38F8" w:rsidRPr="009D5ACD" w14:paraId="3854F7D7" w14:textId="77777777" w:rsidTr="00124195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0E71" w14:textId="3447C3A8" w:rsidR="001D38F8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Plnění indikátorů</w:t>
            </w:r>
          </w:p>
        </w:tc>
      </w:tr>
      <w:tr w:rsidR="001D38F8" w:rsidRPr="009D5ACD" w14:paraId="72844E40" w14:textId="0EC10808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081BB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DD6EB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AFC77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Plánovaný počet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5DD102" w14:textId="018BEF97" w:rsidR="001D38F8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Skutečnost</w:t>
            </w:r>
          </w:p>
        </w:tc>
      </w:tr>
      <w:tr w:rsidR="007E473A" w:rsidRPr="009D5ACD" w14:paraId="0E2424DC" w14:textId="1027F2C0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AD21A" w14:textId="2D4D35E9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121B1C05" w14:textId="2DC48991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EA6D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BFE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1932E6FE" w14:textId="5D73CA9C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BA6C4B8" w14:textId="5708FB0A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204 032</w:t>
            </w:r>
          </w:p>
        </w:tc>
        <w:tc>
          <w:tcPr>
            <w:tcW w:w="5796" w:type="dxa"/>
            <w:vAlign w:val="center"/>
          </w:tcPr>
          <w:p w14:paraId="67D5948B" w14:textId="4EA207B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Mobility – počet výjezdů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07B0803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C9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E075050" w14:textId="6C5B2374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0D4562B" w14:textId="0550AD31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214 021</w:t>
            </w:r>
          </w:p>
        </w:tc>
        <w:tc>
          <w:tcPr>
            <w:tcW w:w="5796" w:type="dxa"/>
            <w:vAlign w:val="center"/>
          </w:tcPr>
          <w:p w14:paraId="3CEC689E" w14:textId="7777777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Publikace z podpořených projektů </w:t>
            </w:r>
          </w:p>
          <w:p w14:paraId="7CFA9CCA" w14:textId="3A6E6A98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55594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355DE42D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538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D31FC9E" w14:textId="7076FDC0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9A0EF38" w14:textId="585F65AF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vAlign w:val="center"/>
          </w:tcPr>
          <w:p w14:paraId="1E060F3D" w14:textId="71F0D8A8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9834D1B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B0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9B061D1" w14:textId="153C1F1E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1B5243F" w14:textId="10C37A15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vAlign w:val="center"/>
          </w:tcPr>
          <w:p w14:paraId="0D3C5F7A" w14:textId="496D69CD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02795F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C0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120E9F4" w14:textId="2C7665B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EA58743" w14:textId="3652E63E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vAlign w:val="center"/>
          </w:tcPr>
          <w:p w14:paraId="1F42E43E" w14:textId="30E3C5A3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43ADC4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0EA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4C22D30" w14:textId="1C495D22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6BC19E6" w14:textId="074D788B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214 022</w:t>
            </w:r>
          </w:p>
        </w:tc>
        <w:tc>
          <w:tcPr>
            <w:tcW w:w="5796" w:type="dxa"/>
            <w:vAlign w:val="center"/>
          </w:tcPr>
          <w:p w14:paraId="68B823E4" w14:textId="7777777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Odborné publikace – </w:t>
            </w:r>
            <w:proofErr w:type="spellStart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letters</w:t>
            </w:r>
            <w:proofErr w:type="spellEnd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reviews</w:t>
            </w:r>
            <w:proofErr w:type="spellEnd"/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, statě ve sborníku  </w:t>
            </w:r>
          </w:p>
          <w:p w14:paraId="193A4162" w14:textId="4AFAFE00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55594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AEB023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8F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5739C03" w14:textId="57A67393" w:rsidTr="007E473A"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C5F7B" w14:textId="7659CDE3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64F7D1BD" w14:textId="206EC92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63A9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B51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9BB1527" w14:textId="2634FEE5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4E60B" w14:textId="6966614D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A34B9" w14:textId="4BD52DE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94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11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3ABD24E" w14:textId="1A4FCD21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74A04" w14:textId="04C889E1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lastRenderedPageBreak/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54EA" w14:textId="64A03D53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090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97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006EA2CE" w14:textId="1445F592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FED0E" w14:textId="0661C854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214 031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5525E915" w14:textId="1F89B03E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Ostatní nepublikační výsledky (vybrané druhy)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BB0E9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CA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8463D09" w14:textId="7587E55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F68693E" w14:textId="70254388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203 121 </w:t>
            </w:r>
          </w:p>
        </w:tc>
        <w:tc>
          <w:tcPr>
            <w:tcW w:w="5796" w:type="dxa"/>
            <w:vAlign w:val="center"/>
          </w:tcPr>
          <w:p w14:paraId="539A3009" w14:textId="74CDF66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mezinárodní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5D31BDAB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96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271AF46" w14:textId="7777777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456DB851" w14:textId="1C728FCF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203 111</w:t>
            </w:r>
          </w:p>
        </w:tc>
        <w:tc>
          <w:tcPr>
            <w:tcW w:w="5796" w:type="dxa"/>
            <w:vAlign w:val="center"/>
          </w:tcPr>
          <w:p w14:paraId="1D44DEA2" w14:textId="7203A920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národní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761DB335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798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F83ED3D" w14:textId="7777777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6E7504A" w14:textId="117C21EB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214 001</w:t>
            </w:r>
          </w:p>
        </w:tc>
        <w:tc>
          <w:tcPr>
            <w:tcW w:w="5796" w:type="dxa"/>
            <w:vAlign w:val="center"/>
          </w:tcPr>
          <w:p w14:paraId="62FFF136" w14:textId="622E006C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Podané patentové přihlášky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0FD585A7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3C4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2841F7CC" w14:textId="77777777" w:rsidTr="007E473A"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A80A0" w14:textId="19D31716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4A853099" w14:textId="52297764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A63971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869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</w:tbl>
    <w:p w14:paraId="0525494F" w14:textId="77777777" w:rsidR="001D38F8" w:rsidRPr="000076EB" w:rsidRDefault="001D38F8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54775253" w:rsidR="0051635D" w:rsidRDefault="0051635D" w:rsidP="00CC7C06">
      <w:r>
        <w:t>Zpráva o průběhu mobility</w:t>
      </w:r>
      <w:r w:rsidR="00B63778">
        <w:rPr>
          <w:rStyle w:val="Znakapoznpodarou"/>
        </w:rPr>
        <w:footnoteReference w:id="4"/>
      </w:r>
      <w:r>
        <w:t xml:space="preserve">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D07B" w14:textId="77777777" w:rsidR="00BE19FD" w:rsidRDefault="00BE19FD" w:rsidP="00CE3205">
      <w:r>
        <w:separator/>
      </w:r>
    </w:p>
  </w:endnote>
  <w:endnote w:type="continuationSeparator" w:id="0">
    <w:p w14:paraId="7508BD97" w14:textId="77777777" w:rsidR="00BE19FD" w:rsidRDefault="00BE19FD" w:rsidP="00CE3205">
      <w:r>
        <w:continuationSeparator/>
      </w:r>
    </w:p>
  </w:endnote>
  <w:endnote w:type="continuationNotice" w:id="1">
    <w:p w14:paraId="1885F311" w14:textId="77777777" w:rsidR="00BE19FD" w:rsidRDefault="00BE19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&#13;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&#13;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AA4C" w14:textId="77777777" w:rsidR="00BE19FD" w:rsidRDefault="00BE19FD" w:rsidP="00CE3205">
      <w:r>
        <w:separator/>
      </w:r>
    </w:p>
  </w:footnote>
  <w:footnote w:type="continuationSeparator" w:id="0">
    <w:p w14:paraId="7E963623" w14:textId="77777777" w:rsidR="00BE19FD" w:rsidRDefault="00BE19FD" w:rsidP="00CE3205">
      <w:r>
        <w:continuationSeparator/>
      </w:r>
    </w:p>
  </w:footnote>
  <w:footnote w:type="continuationNotice" w:id="1">
    <w:p w14:paraId="382F4800" w14:textId="77777777" w:rsidR="00BE19FD" w:rsidRDefault="00BE19FD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009E1F16" w14:textId="764F343B" w:rsidR="00B63778" w:rsidRPr="00125D8D" w:rsidRDefault="00B6377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 w:rsidR="00125D8D"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38F8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2B5732"/>
    <w:rsid w:val="003309FD"/>
    <w:rsid w:val="003359FF"/>
    <w:rsid w:val="003413BE"/>
    <w:rsid w:val="0039598C"/>
    <w:rsid w:val="003E233E"/>
    <w:rsid w:val="004209E1"/>
    <w:rsid w:val="00445247"/>
    <w:rsid w:val="00445D8B"/>
    <w:rsid w:val="004538FE"/>
    <w:rsid w:val="00477DD2"/>
    <w:rsid w:val="004C4791"/>
    <w:rsid w:val="004E4E23"/>
    <w:rsid w:val="0051635D"/>
    <w:rsid w:val="00521617"/>
    <w:rsid w:val="00540C22"/>
    <w:rsid w:val="005438E6"/>
    <w:rsid w:val="0055324E"/>
    <w:rsid w:val="0055594D"/>
    <w:rsid w:val="005A6C42"/>
    <w:rsid w:val="005A6D79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E473A"/>
    <w:rsid w:val="007F10ED"/>
    <w:rsid w:val="007F4F78"/>
    <w:rsid w:val="00831EAC"/>
    <w:rsid w:val="00866748"/>
    <w:rsid w:val="008A23AC"/>
    <w:rsid w:val="008A56D8"/>
    <w:rsid w:val="008B721A"/>
    <w:rsid w:val="008F5355"/>
    <w:rsid w:val="00911F7E"/>
    <w:rsid w:val="00912332"/>
    <w:rsid w:val="0095073C"/>
    <w:rsid w:val="00951B61"/>
    <w:rsid w:val="009740D5"/>
    <w:rsid w:val="00A01894"/>
    <w:rsid w:val="00A05CF7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19FD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242FA"/>
    <w:rsid w:val="00F60EBD"/>
    <w:rsid w:val="00F62F50"/>
    <w:rsid w:val="00FA6A9B"/>
    <w:rsid w:val="00FB14FD"/>
    <w:rsid w:val="00FB78FF"/>
    <w:rsid w:val="00FE4875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732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4</cp:revision>
  <cp:lastPrinted>2022-03-15T15:20:00Z</cp:lastPrinted>
  <dcterms:created xsi:type="dcterms:W3CDTF">2026-03-13T13:53:00Z</dcterms:created>
  <dcterms:modified xsi:type="dcterms:W3CDTF">2026-03-24T11:20:00Z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